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1DE5" w14:textId="77777777" w:rsidR="009B47FC" w:rsidRDefault="009B47FC" w:rsidP="00604B05">
      <w:pPr>
        <w:sectPr w:rsidR="009B47FC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14:paraId="2DCADFB7" w14:textId="77777777" w:rsidR="00176784" w:rsidRDefault="0033100A" w:rsidP="00176784">
      <w:pPr>
        <w:pStyle w:val="Introduction"/>
      </w:pPr>
      <w:r>
        <w:rPr>
          <w:rFonts w:ascii="Calibri" w:hAnsi="Calibri" w:cs="Calibri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364124EE" wp14:editId="7C32871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3D54" w14:textId="472E7B3D" w:rsidR="00D62909" w:rsidRDefault="005C41EA" w:rsidP="004D6831">
      <w:pPr>
        <w:pStyle w:val="Heading1"/>
        <w:sectPr w:rsidR="00D62909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br/>
      </w:r>
      <w:r w:rsidR="00A90B47">
        <w:t>Technical Business</w:t>
      </w:r>
      <w:r w:rsidR="008345A3">
        <w:t xml:space="preserve"> A</w:t>
      </w:r>
      <w:r w:rsidR="00EB1667">
        <w:t>nalys</w:t>
      </w:r>
      <w:r w:rsidR="008345A3">
        <w:t>t</w:t>
      </w:r>
    </w:p>
    <w:p w14:paraId="2668F343" w14:textId="77777777" w:rsidR="004F1EB4" w:rsidRPr="004F1EB4" w:rsidRDefault="004F1EB4" w:rsidP="004F1EB4">
      <w:pPr>
        <w:pStyle w:val="BodyText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4F1EB4" w:rsidRPr="004F1EB4" w14:paraId="46753321" w14:textId="77777777" w:rsidTr="004F1EB4">
        <w:tc>
          <w:tcPr>
            <w:tcW w:w="8897" w:type="dxa"/>
            <w:gridSpan w:val="2"/>
            <w:shd w:val="clear" w:color="auto" w:fill="auto"/>
            <w:vAlign w:val="center"/>
          </w:tcPr>
          <w:p w14:paraId="234919F3" w14:textId="77777777" w:rsidR="004F1EB4" w:rsidRPr="004F1EB4" w:rsidRDefault="004F1EB4" w:rsidP="004F1EB4">
            <w:pPr>
              <w:pStyle w:val="Sub-head"/>
            </w:pPr>
            <w:r w:rsidRPr="004F1EB4">
              <w:t>JOB DETAILS</w:t>
            </w:r>
          </w:p>
        </w:tc>
      </w:tr>
      <w:tr w:rsidR="004F1EB4" w:rsidRPr="004F1EB4" w14:paraId="37AE9262" w14:textId="77777777" w:rsidTr="004F1EB4">
        <w:tc>
          <w:tcPr>
            <w:tcW w:w="2093" w:type="dxa"/>
          </w:tcPr>
          <w:p w14:paraId="19374724" w14:textId="77777777" w:rsidR="004F1EB4" w:rsidRPr="00B34F8F" w:rsidRDefault="004F1EB4" w:rsidP="004F1EB4">
            <w:pPr>
              <w:pStyle w:val="BodyText"/>
              <w:rPr>
                <w:rFonts w:asciiTheme="minorHAnsi" w:hAnsiTheme="minorHAnsi"/>
                <w:bCs/>
              </w:rPr>
            </w:pPr>
            <w:r w:rsidRPr="00B34F8F">
              <w:rPr>
                <w:rFonts w:asciiTheme="minorHAnsi" w:hAnsiTheme="minorHAnsi"/>
                <w:bCs/>
              </w:rPr>
              <w:t xml:space="preserve">Job Title:  </w:t>
            </w:r>
          </w:p>
        </w:tc>
        <w:tc>
          <w:tcPr>
            <w:tcW w:w="6804" w:type="dxa"/>
          </w:tcPr>
          <w:p w14:paraId="78B0F4DC" w14:textId="0524AA36" w:rsidR="004F1EB4" w:rsidRPr="004F1EB4" w:rsidRDefault="00A90B47" w:rsidP="004F1EB4">
            <w:pPr>
              <w:pStyle w:val="BodyText"/>
              <w:rPr>
                <w:bCs/>
              </w:rPr>
            </w:pPr>
            <w:r>
              <w:rPr>
                <w:bCs/>
              </w:rPr>
              <w:t>Technical business</w:t>
            </w:r>
            <w:r w:rsidR="008345A3">
              <w:rPr>
                <w:bCs/>
              </w:rPr>
              <w:t xml:space="preserve"> analyst</w:t>
            </w:r>
          </w:p>
        </w:tc>
      </w:tr>
      <w:tr w:rsidR="004F1EB4" w:rsidRPr="004F1EB4" w14:paraId="4674F7C2" w14:textId="77777777" w:rsidTr="004F1EB4">
        <w:tc>
          <w:tcPr>
            <w:tcW w:w="2093" w:type="dxa"/>
          </w:tcPr>
          <w:p w14:paraId="3F329A2F" w14:textId="77777777" w:rsidR="004F1EB4" w:rsidRPr="00B34F8F" w:rsidRDefault="004F1EB4" w:rsidP="004F1EB4">
            <w:pPr>
              <w:pStyle w:val="BodyText"/>
              <w:rPr>
                <w:rFonts w:asciiTheme="minorHAnsi" w:hAnsiTheme="minorHAnsi"/>
                <w:bCs/>
              </w:rPr>
            </w:pPr>
            <w:r w:rsidRPr="00B34F8F">
              <w:rPr>
                <w:rFonts w:asciiTheme="minorHAnsi" w:hAnsiTheme="minorHAnsi"/>
                <w:bCs/>
              </w:rPr>
              <w:t>Reports to (title):</w:t>
            </w:r>
          </w:p>
        </w:tc>
        <w:tc>
          <w:tcPr>
            <w:tcW w:w="6804" w:type="dxa"/>
          </w:tcPr>
          <w:p w14:paraId="1351DC16" w14:textId="4AFEC04E" w:rsidR="004F1EB4" w:rsidRPr="004F1EB4" w:rsidRDefault="008345A3" w:rsidP="004F1EB4">
            <w:pPr>
              <w:pStyle w:val="BodyText"/>
              <w:rPr>
                <w:bCs/>
              </w:rPr>
            </w:pPr>
            <w:r>
              <w:rPr>
                <w:bCs/>
              </w:rPr>
              <w:t>Review Production Manager, Informatics and Knowledge Management Department (IKMD)</w:t>
            </w:r>
          </w:p>
        </w:tc>
      </w:tr>
      <w:tr w:rsidR="004F1EB4" w:rsidRPr="004F1EB4" w14:paraId="5F36F632" w14:textId="77777777" w:rsidTr="004F1EB4">
        <w:tc>
          <w:tcPr>
            <w:tcW w:w="2093" w:type="dxa"/>
          </w:tcPr>
          <w:p w14:paraId="1051970F" w14:textId="77777777" w:rsidR="004F1EB4" w:rsidRPr="00B34F8F" w:rsidRDefault="004F1EB4" w:rsidP="004F1EB4">
            <w:pPr>
              <w:pStyle w:val="BodyText"/>
              <w:rPr>
                <w:rFonts w:asciiTheme="minorHAnsi" w:hAnsiTheme="minorHAnsi"/>
                <w:bCs/>
              </w:rPr>
            </w:pPr>
            <w:r w:rsidRPr="00B34F8F">
              <w:rPr>
                <w:rFonts w:asciiTheme="minorHAnsi" w:hAnsiTheme="minorHAnsi"/>
                <w:bCs/>
              </w:rPr>
              <w:t>Date:</w:t>
            </w:r>
          </w:p>
        </w:tc>
        <w:tc>
          <w:tcPr>
            <w:tcW w:w="6804" w:type="dxa"/>
          </w:tcPr>
          <w:p w14:paraId="251CDC2A" w14:textId="19CDD92C" w:rsidR="004F1EB4" w:rsidRPr="004F1EB4" w:rsidRDefault="008643D1" w:rsidP="004F1EB4">
            <w:pPr>
              <w:pStyle w:val="BodyText"/>
              <w:rPr>
                <w:bCs/>
              </w:rPr>
            </w:pPr>
            <w:r>
              <w:rPr>
                <w:bCs/>
              </w:rPr>
              <w:t>February</w:t>
            </w:r>
            <w:r w:rsidR="00217BB7">
              <w:rPr>
                <w:bCs/>
              </w:rPr>
              <w:t xml:space="preserve"> 2017</w:t>
            </w:r>
          </w:p>
        </w:tc>
      </w:tr>
    </w:tbl>
    <w:p w14:paraId="5A8FCC2E" w14:textId="77777777" w:rsidR="004F1EB4" w:rsidRPr="004F1EB4" w:rsidRDefault="004F1EB4" w:rsidP="004F1EB4">
      <w:pPr>
        <w:pStyle w:val="BodyText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4F1EB4" w14:paraId="5B32A04B" w14:textId="77777777" w:rsidTr="004F1EB4">
        <w:tc>
          <w:tcPr>
            <w:tcW w:w="8897" w:type="dxa"/>
            <w:shd w:val="clear" w:color="auto" w:fill="auto"/>
            <w:vAlign w:val="center"/>
          </w:tcPr>
          <w:p w14:paraId="5998EFC1" w14:textId="77777777" w:rsidR="004F1EB4" w:rsidRPr="004F1EB4" w:rsidRDefault="004F1EB4" w:rsidP="004F1EB4">
            <w:pPr>
              <w:pStyle w:val="Sub-head"/>
            </w:pPr>
            <w:r w:rsidRPr="004F1EB4">
              <w:t>PURPOSE OF THE JOB</w:t>
            </w:r>
          </w:p>
        </w:tc>
      </w:tr>
      <w:tr w:rsidR="004F1EB4" w:rsidRPr="004F1EB4" w14:paraId="647B51BC" w14:textId="77777777" w:rsidTr="004F1EB4">
        <w:tc>
          <w:tcPr>
            <w:tcW w:w="8897" w:type="dxa"/>
          </w:tcPr>
          <w:p w14:paraId="403C4DA4" w14:textId="05D78520" w:rsidR="004F1EB4" w:rsidRPr="004F1EB4" w:rsidRDefault="00217BB7" w:rsidP="004F1EB4">
            <w:pPr>
              <w:pStyle w:val="BodyText"/>
              <w:rPr>
                <w:bCs/>
              </w:rPr>
            </w:pPr>
            <w:r>
              <w:rPr>
                <w:bCs/>
              </w:rPr>
              <w:t>To translate user needs, business requirements, and gaps into ac</w:t>
            </w:r>
            <w:r w:rsidR="005738DB">
              <w:rPr>
                <w:bCs/>
              </w:rPr>
              <w:t>tionable specifications for development and testing of web applications by Cochrane’s Informatics and Knowledge Management Department (IKMD), focussing on Cochrane systematic review production systems.</w:t>
            </w:r>
          </w:p>
        </w:tc>
      </w:tr>
    </w:tbl>
    <w:p w14:paraId="69FB8C3C" w14:textId="77777777" w:rsidR="004F1EB4" w:rsidRPr="004F1EB4" w:rsidRDefault="004F1EB4" w:rsidP="004F1EB4">
      <w:pPr>
        <w:pStyle w:val="BodyText"/>
        <w:rPr>
          <w:bCs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4F1EB4" w14:paraId="14845BBB" w14:textId="77777777" w:rsidTr="004F1EB4">
        <w:tc>
          <w:tcPr>
            <w:tcW w:w="8897" w:type="dxa"/>
            <w:shd w:val="clear" w:color="auto" w:fill="auto"/>
          </w:tcPr>
          <w:p w14:paraId="723FCC0F" w14:textId="77777777" w:rsidR="004F1EB4" w:rsidRPr="004F1EB4" w:rsidRDefault="004F1EB4" w:rsidP="004F1EB4">
            <w:pPr>
              <w:pStyle w:val="Sub-head"/>
            </w:pPr>
            <w:r w:rsidRPr="004F1EB4">
              <w:t>PRINCIPAL ACCOUNTABILITIES/KEY RESULT AREAS</w:t>
            </w:r>
          </w:p>
        </w:tc>
      </w:tr>
      <w:tr w:rsidR="004F1EB4" w:rsidRPr="004F1EB4" w14:paraId="616F265E" w14:textId="77777777" w:rsidTr="004F1EB4">
        <w:tc>
          <w:tcPr>
            <w:tcW w:w="8897" w:type="dxa"/>
          </w:tcPr>
          <w:p w14:paraId="0A7AF194" w14:textId="77777777" w:rsidR="004F1EB4" w:rsidRDefault="005738DB" w:rsidP="004F1EB4">
            <w:pPr>
              <w:pStyle w:val="BodyTex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Analyse and decompose complex requirements, create functional specifications, and prepare wireframes and flowcharts</w:t>
            </w:r>
          </w:p>
          <w:p w14:paraId="068728C7" w14:textId="5E25EC75" w:rsidR="005738DB" w:rsidRDefault="005738DB" w:rsidP="004F1EB4">
            <w:pPr>
              <w:pStyle w:val="BodyTex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Create a thorough understanding of the domain of systematic review production, and apply that knowledge to facilitate requirement elicitation, perform gap analysis, and identify opportunities</w:t>
            </w:r>
          </w:p>
          <w:p w14:paraId="3B5D0C2C" w14:textId="77777777" w:rsidR="005738DB" w:rsidRDefault="00075F87" w:rsidP="00075F87">
            <w:pPr>
              <w:pStyle w:val="BodyTex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Work embedded in an Agile software development team, providing the right level of design input ahead of time to facilitate planning, and on an as-needed basis for development to progress</w:t>
            </w:r>
          </w:p>
          <w:p w14:paraId="5A801493" w14:textId="77777777" w:rsidR="00075F87" w:rsidRDefault="00075F87" w:rsidP="00075F87">
            <w:pPr>
              <w:pStyle w:val="BodyTex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Prepare technical documentation</w:t>
            </w:r>
          </w:p>
          <w:p w14:paraId="35A20AD2" w14:textId="77777777" w:rsidR="00075F87" w:rsidRDefault="00075F87" w:rsidP="00075F87">
            <w:pPr>
              <w:pStyle w:val="BodyTex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Verify that developed functionality meets specifications</w:t>
            </w:r>
          </w:p>
          <w:p w14:paraId="17D50009" w14:textId="3826C121" w:rsidR="00075F87" w:rsidRPr="004F1EB4" w:rsidRDefault="00075F87" w:rsidP="00075F87">
            <w:pPr>
              <w:pStyle w:val="BodyTex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Help improve IKMD’s development processes through constructive criticism and a willingness to implement process changes</w:t>
            </w:r>
          </w:p>
        </w:tc>
      </w:tr>
    </w:tbl>
    <w:p w14:paraId="62010872" w14:textId="77777777" w:rsidR="004F1EB4" w:rsidRPr="004F1EB4" w:rsidRDefault="004F1EB4" w:rsidP="004F1EB4">
      <w:pPr>
        <w:pStyle w:val="BodyText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4F1EB4" w14:paraId="145E5638" w14:textId="77777777" w:rsidTr="004F1EB4">
        <w:tc>
          <w:tcPr>
            <w:tcW w:w="8897" w:type="dxa"/>
            <w:shd w:val="clear" w:color="auto" w:fill="auto"/>
          </w:tcPr>
          <w:p w14:paraId="5CADD8AD" w14:textId="77777777" w:rsidR="004F1EB4" w:rsidRPr="004F1EB4" w:rsidRDefault="004F1EB4" w:rsidP="004F1EB4">
            <w:pPr>
              <w:pStyle w:val="Sub-head"/>
            </w:pPr>
            <w:r w:rsidRPr="004F1EB4">
              <w:lastRenderedPageBreak/>
              <w:t>PERSON SPECIFICATION</w:t>
            </w:r>
          </w:p>
        </w:tc>
      </w:tr>
      <w:tr w:rsidR="004F1EB4" w:rsidRPr="004F1EB4" w14:paraId="4F6A3197" w14:textId="77777777" w:rsidTr="004F1EB4">
        <w:tc>
          <w:tcPr>
            <w:tcW w:w="8897" w:type="dxa"/>
          </w:tcPr>
          <w:p w14:paraId="5FC996BA" w14:textId="77ADD04E" w:rsidR="004F1EB4" w:rsidRPr="00B34F8F" w:rsidRDefault="00B34F8F" w:rsidP="004F1EB4">
            <w:pPr>
              <w:pStyle w:val="BodyText"/>
              <w:rPr>
                <w:rFonts w:asciiTheme="minorHAnsi" w:hAnsiTheme="minorHAnsi"/>
                <w:bCs/>
              </w:rPr>
            </w:pPr>
            <w:r w:rsidRPr="00B34F8F">
              <w:rPr>
                <w:rFonts w:asciiTheme="minorHAnsi" w:hAnsiTheme="minorHAnsi"/>
                <w:bCs/>
              </w:rPr>
              <w:t>Essential</w:t>
            </w:r>
          </w:p>
          <w:p w14:paraId="7F09BF31" w14:textId="3DFF68AC" w:rsidR="004F1EB4" w:rsidRDefault="006139B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 keen interest in Cochrane’s mission and the drive to master the systematic review domain</w:t>
            </w:r>
          </w:p>
          <w:p w14:paraId="0A5F701F" w14:textId="64444222" w:rsidR="006139B7" w:rsidRDefault="006139B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Analytical and investigation skills</w:t>
            </w:r>
            <w:r w:rsidR="00EB1667">
              <w:rPr>
                <w:bCs/>
              </w:rPr>
              <w:t>; ability to understand the bigger picture</w:t>
            </w:r>
          </w:p>
          <w:p w14:paraId="05F41F31" w14:textId="72315AD1" w:rsidR="006139B7" w:rsidRDefault="006139B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Working knowledge of data and process modelling and good grasp of software development concepts</w:t>
            </w:r>
          </w:p>
          <w:p w14:paraId="6A75E900" w14:textId="110C3A24" w:rsidR="006139B7" w:rsidRDefault="006139B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Working knowledge of user interface design and ability to develop wireframes</w:t>
            </w:r>
          </w:p>
          <w:p w14:paraId="1D1F24DD" w14:textId="4390A862" w:rsidR="00EB1667" w:rsidRDefault="00EB166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Ability to work with domain experts and users to understand their requirements</w:t>
            </w:r>
          </w:p>
          <w:p w14:paraId="1F98927E" w14:textId="12D9A5A2" w:rsidR="00EB1667" w:rsidRDefault="00EB166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Good command over spoken and written English</w:t>
            </w:r>
          </w:p>
          <w:p w14:paraId="42B3EE66" w14:textId="776A57AB" w:rsidR="00EB1667" w:rsidRDefault="00EB166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Ability to work in an Agile team and prioritise tasks against team goals</w:t>
            </w:r>
          </w:p>
          <w:p w14:paraId="69C46E48" w14:textId="77777777" w:rsidR="00EB1667" w:rsidRPr="00EB1667" w:rsidRDefault="00EB1667" w:rsidP="00EB1667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 w:rsidRPr="00EB1667">
              <w:rPr>
                <w:bCs/>
              </w:rPr>
              <w:t>Able to work efficiently and effectively with a geographically-dispersed department and organization</w:t>
            </w:r>
          </w:p>
          <w:p w14:paraId="7CAF1928" w14:textId="44196FE9" w:rsidR="00EB1667" w:rsidRPr="00EB1667" w:rsidRDefault="00EB1667" w:rsidP="00EB1667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 w:rsidRPr="00EB1667">
              <w:rPr>
                <w:bCs/>
              </w:rPr>
              <w:t>Willingness to travel as required</w:t>
            </w:r>
          </w:p>
          <w:p w14:paraId="668739FD" w14:textId="48143F13" w:rsidR="004F1EB4" w:rsidRPr="00B34F8F" w:rsidRDefault="006139B7" w:rsidP="004F1EB4">
            <w:pPr>
              <w:pStyle w:val="BodyTex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Preferred</w:t>
            </w:r>
          </w:p>
          <w:p w14:paraId="6138BB04" w14:textId="77777777" w:rsidR="006139B7" w:rsidRPr="006139B7" w:rsidRDefault="006139B7" w:rsidP="006139B7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 w:rsidRPr="006139B7">
              <w:rPr>
                <w:bCs/>
              </w:rPr>
              <w:t>Knowledge of Cochrane, evidence-based health care, systematic reviews, and/or the global health sector</w:t>
            </w:r>
          </w:p>
          <w:p w14:paraId="586B6523" w14:textId="77777777" w:rsidR="006139B7" w:rsidRPr="006139B7" w:rsidRDefault="006139B7" w:rsidP="006139B7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 w:rsidRPr="006139B7">
              <w:rPr>
                <w:bCs/>
              </w:rPr>
              <w:t>Experience working according to Agile development practices</w:t>
            </w:r>
          </w:p>
          <w:p w14:paraId="3BF55FD5" w14:textId="07EF51EE" w:rsidR="004F1EB4" w:rsidRPr="006F33AB" w:rsidRDefault="006139B7" w:rsidP="004F1EB4">
            <w:pPr>
              <w:pStyle w:val="BodyTex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 basic understanding of statistics</w:t>
            </w:r>
          </w:p>
        </w:tc>
      </w:tr>
    </w:tbl>
    <w:p w14:paraId="37FD4513" w14:textId="77777777" w:rsidR="004F1EB4" w:rsidRPr="004F1EB4" w:rsidRDefault="004F1EB4" w:rsidP="004F1EB4">
      <w:pPr>
        <w:pStyle w:val="BodyText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4F1EB4" w14:paraId="2DCDC776" w14:textId="77777777" w:rsidTr="004F1EB4">
        <w:tc>
          <w:tcPr>
            <w:tcW w:w="8897" w:type="dxa"/>
            <w:shd w:val="clear" w:color="auto" w:fill="auto"/>
          </w:tcPr>
          <w:p w14:paraId="0A4FADDE" w14:textId="77777777" w:rsidR="004F1EB4" w:rsidRPr="004F1EB4" w:rsidRDefault="004F1EB4" w:rsidP="004F1EB4">
            <w:pPr>
              <w:pStyle w:val="Sub-head"/>
            </w:pPr>
            <w:r w:rsidRPr="004F1EB4">
              <w:t>KEY INTERFACES</w:t>
            </w:r>
          </w:p>
        </w:tc>
      </w:tr>
      <w:tr w:rsidR="004F1EB4" w:rsidRPr="004F1EB4" w14:paraId="3A7EE712" w14:textId="77777777" w:rsidTr="004F1EB4">
        <w:tc>
          <w:tcPr>
            <w:tcW w:w="8897" w:type="dxa"/>
          </w:tcPr>
          <w:p w14:paraId="4A69BAFB" w14:textId="60AA9DCF" w:rsidR="004F1EB4" w:rsidRPr="004F1EB4" w:rsidRDefault="004F1EB4" w:rsidP="004F1EB4">
            <w:pPr>
              <w:pStyle w:val="BodyText"/>
              <w:rPr>
                <w:bCs/>
              </w:rPr>
            </w:pPr>
            <w:r w:rsidRPr="00B34F8F">
              <w:rPr>
                <w:rFonts w:asciiTheme="minorHAnsi" w:hAnsiTheme="minorHAnsi"/>
                <w:bCs/>
              </w:rPr>
              <w:t>Internal:</w:t>
            </w:r>
            <w:r w:rsidRPr="004F1EB4">
              <w:rPr>
                <w:bCs/>
              </w:rPr>
              <w:t xml:space="preserve"> </w:t>
            </w:r>
            <w:r w:rsidR="00075F87">
              <w:rPr>
                <w:bCs/>
              </w:rPr>
              <w:t>Informatics and Knowledge</w:t>
            </w:r>
            <w:r w:rsidR="005B575A">
              <w:rPr>
                <w:bCs/>
              </w:rPr>
              <w:t xml:space="preserve"> Management Department (IKMD), </w:t>
            </w:r>
            <w:r w:rsidR="00181D8A">
              <w:rPr>
                <w:bCs/>
              </w:rPr>
              <w:t>Central Editorial Unit (CEU), and others within the Central Executive Team as needed</w:t>
            </w:r>
          </w:p>
          <w:p w14:paraId="5537031A" w14:textId="24019F81" w:rsidR="004F1EB4" w:rsidRPr="004F1EB4" w:rsidRDefault="004F1EB4" w:rsidP="00FF1B8C">
            <w:pPr>
              <w:pStyle w:val="BodyText"/>
              <w:rPr>
                <w:bCs/>
              </w:rPr>
            </w:pPr>
            <w:r w:rsidRPr="00B34F8F">
              <w:rPr>
                <w:rFonts w:asciiTheme="minorHAnsi" w:hAnsiTheme="minorHAnsi"/>
                <w:bCs/>
              </w:rPr>
              <w:t>External:</w:t>
            </w:r>
            <w:r w:rsidRPr="004F1EB4">
              <w:rPr>
                <w:bCs/>
              </w:rPr>
              <w:t xml:space="preserve"> </w:t>
            </w:r>
            <w:r w:rsidR="00075F87">
              <w:rPr>
                <w:bCs/>
              </w:rPr>
              <w:t xml:space="preserve">Cochrane Review Groups, Cochrane Innovations, and Cochrane’s </w:t>
            </w:r>
            <w:r w:rsidR="00FF1B8C">
              <w:rPr>
                <w:bCs/>
              </w:rPr>
              <w:t>partner organizations</w:t>
            </w:r>
          </w:p>
        </w:tc>
      </w:tr>
    </w:tbl>
    <w:p w14:paraId="31736339" w14:textId="77777777" w:rsidR="004F1EB4" w:rsidRPr="004F1EB4" w:rsidRDefault="004F1EB4" w:rsidP="004F1EB4">
      <w:pPr>
        <w:pStyle w:val="BodyText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4F1EB4" w14:paraId="7F01A071" w14:textId="77777777" w:rsidTr="004F1EB4">
        <w:tc>
          <w:tcPr>
            <w:tcW w:w="8897" w:type="dxa"/>
            <w:shd w:val="clear" w:color="auto" w:fill="auto"/>
          </w:tcPr>
          <w:p w14:paraId="32B258B3" w14:textId="77777777" w:rsidR="004F1EB4" w:rsidRPr="004F1EB4" w:rsidRDefault="004F1EB4" w:rsidP="004F1EB4">
            <w:pPr>
              <w:pStyle w:val="Sub-head"/>
            </w:pPr>
            <w:r w:rsidRPr="004F1EB4">
              <w:t>DIMENSIONS</w:t>
            </w:r>
          </w:p>
        </w:tc>
      </w:tr>
      <w:tr w:rsidR="004F1EB4" w:rsidRPr="004F1EB4" w14:paraId="226947EC" w14:textId="77777777" w:rsidTr="004F1EB4">
        <w:tc>
          <w:tcPr>
            <w:tcW w:w="8897" w:type="dxa"/>
          </w:tcPr>
          <w:p w14:paraId="7C7511F2" w14:textId="77777777" w:rsidR="004F1EB4" w:rsidRPr="004F1EB4" w:rsidRDefault="004F1EB4" w:rsidP="004F1EB4">
            <w:pPr>
              <w:pStyle w:val="BodyText"/>
              <w:rPr>
                <w:bCs/>
              </w:rPr>
            </w:pPr>
            <w:r w:rsidRPr="00B34F8F">
              <w:rPr>
                <w:rFonts w:asciiTheme="minorHAnsi" w:hAnsiTheme="minorHAnsi"/>
                <w:bCs/>
              </w:rPr>
              <w:t>Budgetary responsibility:</w:t>
            </w:r>
            <w:r w:rsidRPr="004F1EB4">
              <w:rPr>
                <w:bCs/>
              </w:rPr>
              <w:t xml:space="preserve">  N/A</w:t>
            </w:r>
          </w:p>
          <w:p w14:paraId="323E7DB5" w14:textId="77777777" w:rsidR="004F1EB4" w:rsidRPr="004F1EB4" w:rsidRDefault="004F1EB4" w:rsidP="004F1EB4">
            <w:pPr>
              <w:pStyle w:val="BodyText"/>
              <w:rPr>
                <w:bCs/>
              </w:rPr>
            </w:pPr>
            <w:r w:rsidRPr="00B34F8F">
              <w:rPr>
                <w:rFonts w:asciiTheme="minorHAnsi" w:hAnsiTheme="minorHAnsi"/>
                <w:bCs/>
              </w:rPr>
              <w:t>Number of direct and indirect reports:</w:t>
            </w:r>
            <w:r w:rsidRPr="004F1EB4">
              <w:rPr>
                <w:bCs/>
              </w:rPr>
              <w:t xml:space="preserve"> N/A</w:t>
            </w:r>
          </w:p>
        </w:tc>
      </w:tr>
    </w:tbl>
    <w:p w14:paraId="0342D710" w14:textId="7357ADEE" w:rsidR="00590542" w:rsidRPr="00C6136E" w:rsidRDefault="00590542" w:rsidP="00DD702B">
      <w:pPr>
        <w:pStyle w:val="BodyText"/>
        <w:rPr>
          <w:rFonts w:asciiTheme="minorHAnsi" w:hAnsiTheme="minorHAnsi"/>
          <w:bCs/>
        </w:rPr>
      </w:pPr>
    </w:p>
    <w:sectPr w:rsidR="00590542" w:rsidRPr="00C6136E" w:rsidSect="004F1E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3B04" w14:textId="77777777" w:rsidR="00AE63B7" w:rsidRDefault="00AE63B7" w:rsidP="001440A0">
      <w:r>
        <w:separator/>
      </w:r>
    </w:p>
  </w:endnote>
  <w:endnote w:type="continuationSeparator" w:id="0">
    <w:p w14:paraId="1DC1672B" w14:textId="77777777" w:rsidR="00AE63B7" w:rsidRDefault="00AE63B7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8B85" w14:textId="77777777" w:rsidR="004F1EB4" w:rsidRPr="003B7D3E" w:rsidRDefault="004F1EB4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</w:p>
  <w:p w14:paraId="460BB7C5" w14:textId="30B631DA" w:rsidR="004F1EB4" w:rsidRDefault="004F1EB4" w:rsidP="003B7D3E">
    <w:pPr>
      <w:pStyle w:val="Footer"/>
      <w:rPr>
        <w:rFonts w:cs="Arial"/>
        <w:color w:val="002D64" w:themeColor="text2"/>
        <w:sz w:val="16"/>
      </w:rPr>
    </w:pP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14:paraId="5C1D8F3D" w14:textId="4A95E39F" w:rsidR="004F1EB4" w:rsidRPr="00C6136E" w:rsidRDefault="004F1EB4" w:rsidP="003B7D3E">
    <w:pPr>
      <w:pStyle w:val="Footer"/>
      <w:rPr>
        <w:rFonts w:cs="Arial"/>
        <w:color w:val="002D64" w:themeColor="text2"/>
        <w:sz w:val="16"/>
      </w:rPr>
    </w:pPr>
    <w:r w:rsidRPr="00C6136E">
      <w:rPr>
        <w:rFonts w:cs="Arial"/>
        <w:color w:val="002D64" w:themeColor="text2"/>
        <w:sz w:val="16"/>
      </w:rPr>
      <w:t>Registered Charity No 1045921; Registered in England No 3044323</w:t>
    </w:r>
  </w:p>
  <w:p w14:paraId="750CF754" w14:textId="77777777" w:rsidR="004F1EB4" w:rsidRPr="00C6136E" w:rsidRDefault="004F1EB4" w:rsidP="00C6136E">
    <w:pPr>
      <w:pStyle w:val="Footer"/>
      <w:rPr>
        <w:rFonts w:cs="Arial"/>
        <w:color w:val="002D64" w:themeColor="text2"/>
      </w:rPr>
    </w:pP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9F59" w14:textId="77777777" w:rsidR="00AE63B7" w:rsidRDefault="00AE63B7" w:rsidP="001440A0">
      <w:r>
        <w:separator/>
      </w:r>
    </w:p>
  </w:footnote>
  <w:footnote w:type="continuationSeparator" w:id="0">
    <w:p w14:paraId="742B6E36" w14:textId="77777777" w:rsidR="00AE63B7" w:rsidRDefault="00AE63B7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5FAE" w14:textId="007A0F02" w:rsidR="004F1EB4" w:rsidRPr="00604B05" w:rsidRDefault="004F1EB4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Job description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8643D1">
      <w:rPr>
        <w:rFonts w:asciiTheme="majorHAnsi" w:hAnsiTheme="majorHAnsi"/>
        <w:b/>
        <w:noProof/>
        <w:color w:val="002D64" w:themeColor="text2"/>
        <w:sz w:val="20"/>
        <w:szCs w:val="20"/>
      </w:rPr>
      <w:t>2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24"/>
    <w:rsid w:val="00070C24"/>
    <w:rsid w:val="00075F87"/>
    <w:rsid w:val="00124181"/>
    <w:rsid w:val="001440A0"/>
    <w:rsid w:val="00176784"/>
    <w:rsid w:val="00181D8A"/>
    <w:rsid w:val="001A6C76"/>
    <w:rsid w:val="001E3F92"/>
    <w:rsid w:val="00217BB7"/>
    <w:rsid w:val="00241D85"/>
    <w:rsid w:val="00246B15"/>
    <w:rsid w:val="002C00B0"/>
    <w:rsid w:val="002E6177"/>
    <w:rsid w:val="0031760C"/>
    <w:rsid w:val="0033100A"/>
    <w:rsid w:val="003B7D3E"/>
    <w:rsid w:val="003C0907"/>
    <w:rsid w:val="00420D40"/>
    <w:rsid w:val="004914CF"/>
    <w:rsid w:val="004B7A27"/>
    <w:rsid w:val="004D6831"/>
    <w:rsid w:val="004F1EB4"/>
    <w:rsid w:val="00507E19"/>
    <w:rsid w:val="00511BE7"/>
    <w:rsid w:val="0055510C"/>
    <w:rsid w:val="005738DB"/>
    <w:rsid w:val="00590542"/>
    <w:rsid w:val="005B575A"/>
    <w:rsid w:val="005C41EA"/>
    <w:rsid w:val="005C519D"/>
    <w:rsid w:val="00604B05"/>
    <w:rsid w:val="006139B7"/>
    <w:rsid w:val="00625C66"/>
    <w:rsid w:val="00645FD3"/>
    <w:rsid w:val="0065202A"/>
    <w:rsid w:val="006D763E"/>
    <w:rsid w:val="006F33AB"/>
    <w:rsid w:val="00746C8B"/>
    <w:rsid w:val="00796C4F"/>
    <w:rsid w:val="007F5BC6"/>
    <w:rsid w:val="00807E81"/>
    <w:rsid w:val="008345A3"/>
    <w:rsid w:val="00841B40"/>
    <w:rsid w:val="0086019D"/>
    <w:rsid w:val="008643D1"/>
    <w:rsid w:val="00871B87"/>
    <w:rsid w:val="00874B2B"/>
    <w:rsid w:val="00887E01"/>
    <w:rsid w:val="008E6894"/>
    <w:rsid w:val="0091440B"/>
    <w:rsid w:val="009B47FC"/>
    <w:rsid w:val="009D05F5"/>
    <w:rsid w:val="00A47986"/>
    <w:rsid w:val="00A67B13"/>
    <w:rsid w:val="00A90B47"/>
    <w:rsid w:val="00AE63B7"/>
    <w:rsid w:val="00B34F8F"/>
    <w:rsid w:val="00B500E4"/>
    <w:rsid w:val="00B77171"/>
    <w:rsid w:val="00B93ED6"/>
    <w:rsid w:val="00B9439E"/>
    <w:rsid w:val="00BB0359"/>
    <w:rsid w:val="00C6136E"/>
    <w:rsid w:val="00C74BE0"/>
    <w:rsid w:val="00C86D7B"/>
    <w:rsid w:val="00C97601"/>
    <w:rsid w:val="00CC7A48"/>
    <w:rsid w:val="00D17963"/>
    <w:rsid w:val="00D62909"/>
    <w:rsid w:val="00D709E7"/>
    <w:rsid w:val="00D74846"/>
    <w:rsid w:val="00DD4226"/>
    <w:rsid w:val="00DD702B"/>
    <w:rsid w:val="00E3239D"/>
    <w:rsid w:val="00EB0438"/>
    <w:rsid w:val="00EB1667"/>
    <w:rsid w:val="00EC408A"/>
    <w:rsid w:val="00F70157"/>
    <w:rsid w:val="00F72626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7A3F5"/>
  <w15:docId w15:val="{D666A5E1-5CC6-4294-8526-1AA7246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4FF3-DB0B-4066-94AC-68CD91E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Linda Nici</cp:lastModifiedBy>
  <cp:revision>13</cp:revision>
  <dcterms:created xsi:type="dcterms:W3CDTF">2017-01-04T14:22:00Z</dcterms:created>
  <dcterms:modified xsi:type="dcterms:W3CDTF">2017-02-01T13:06:00Z</dcterms:modified>
</cp:coreProperties>
</file>